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52" w:rsidRPr="004E54CC" w:rsidRDefault="008A1252" w:rsidP="008A1252">
      <w:pPr>
        <w:spacing w:after="0" w:line="240" w:lineRule="auto"/>
        <w:jc w:val="center"/>
        <w:rPr>
          <w:rFonts w:ascii="Times New Roman" w:hAnsi="Times New Roman"/>
          <w:b/>
          <w:sz w:val="26"/>
          <w:szCs w:val="26"/>
          <w:lang w:val="nl-NL"/>
        </w:rPr>
      </w:pPr>
      <w:r w:rsidRPr="004E54CC">
        <w:rPr>
          <w:rFonts w:ascii="Times New Roman" w:hAnsi="Times New Roman"/>
          <w:b/>
          <w:sz w:val="26"/>
          <w:szCs w:val="26"/>
          <w:lang w:val="nl-NL"/>
        </w:rPr>
        <w:t xml:space="preserve">Phụ lục </w:t>
      </w:r>
      <w:r w:rsidR="004E54CC">
        <w:rPr>
          <w:rFonts w:ascii="Times New Roman" w:hAnsi="Times New Roman"/>
          <w:b/>
          <w:sz w:val="26"/>
          <w:szCs w:val="26"/>
          <w:lang w:val="nl-NL"/>
        </w:rPr>
        <w:t>II</w:t>
      </w:r>
    </w:p>
    <w:p w:rsidR="008A1252" w:rsidRPr="004E54CC" w:rsidRDefault="008A1252" w:rsidP="008A1252">
      <w:pPr>
        <w:spacing w:after="0" w:line="240" w:lineRule="auto"/>
        <w:jc w:val="center"/>
        <w:rPr>
          <w:rFonts w:ascii="Times New Roman" w:hAnsi="Times New Roman"/>
          <w:b/>
          <w:sz w:val="26"/>
          <w:szCs w:val="26"/>
          <w:lang w:val="nl-NL"/>
        </w:rPr>
      </w:pPr>
      <w:r w:rsidRPr="004E54CC">
        <w:rPr>
          <w:rFonts w:ascii="Times New Roman" w:hAnsi="Times New Roman"/>
          <w:b/>
          <w:sz w:val="26"/>
          <w:szCs w:val="26"/>
          <w:lang w:val="nl-NL"/>
        </w:rPr>
        <w:t>CÁC CHƯƠNG TRÌNH, DỰ ÁN ƯU TIÊN ĐẦU TƯ</w:t>
      </w:r>
    </w:p>
    <w:p w:rsidR="008A1252" w:rsidRPr="004E54CC" w:rsidRDefault="008A1252" w:rsidP="008A1252">
      <w:pPr>
        <w:spacing w:after="0" w:line="240" w:lineRule="auto"/>
        <w:jc w:val="center"/>
        <w:rPr>
          <w:rFonts w:ascii="Times New Roman" w:hAnsi="Times New Roman"/>
          <w:i/>
          <w:sz w:val="26"/>
          <w:szCs w:val="26"/>
          <w:lang w:val="nl-NL"/>
        </w:rPr>
      </w:pPr>
      <w:r w:rsidRPr="004E54CC">
        <w:rPr>
          <w:rFonts w:ascii="Times New Roman" w:hAnsi="Times New Roman"/>
          <w:i/>
          <w:sz w:val="26"/>
          <w:szCs w:val="26"/>
          <w:lang w:val="nl-NL"/>
        </w:rPr>
        <w:t>(Ban hành kèm theo Nghị quyết s</w:t>
      </w:r>
      <w:r w:rsidR="004E54CC" w:rsidRPr="004E54CC">
        <w:rPr>
          <w:rFonts w:ascii="Times New Roman" w:hAnsi="Times New Roman"/>
          <w:i/>
          <w:sz w:val="26"/>
          <w:szCs w:val="26"/>
          <w:lang w:val="nl-NL"/>
        </w:rPr>
        <w:t>ố 207</w:t>
      </w:r>
      <w:r w:rsidRPr="004E54CC">
        <w:rPr>
          <w:rFonts w:ascii="Times New Roman" w:hAnsi="Times New Roman"/>
          <w:i/>
          <w:sz w:val="26"/>
          <w:szCs w:val="26"/>
          <w:lang w:val="nl-NL"/>
        </w:rPr>
        <w:t>/</w:t>
      </w:r>
      <w:r w:rsidR="00381061">
        <w:rPr>
          <w:rFonts w:ascii="Times New Roman" w:hAnsi="Times New Roman"/>
          <w:i/>
          <w:sz w:val="26"/>
          <w:szCs w:val="26"/>
          <w:lang w:val="nl-NL"/>
        </w:rPr>
        <w:t>2018/</w:t>
      </w:r>
      <w:bookmarkStart w:id="0" w:name="_GoBack"/>
      <w:bookmarkEnd w:id="0"/>
      <w:r w:rsidRPr="004E54CC">
        <w:rPr>
          <w:rFonts w:ascii="Times New Roman" w:hAnsi="Times New Roman"/>
          <w:i/>
          <w:sz w:val="26"/>
          <w:szCs w:val="26"/>
          <w:lang w:val="nl-NL"/>
        </w:rPr>
        <w:t>NQ-HĐND</w:t>
      </w:r>
    </w:p>
    <w:p w:rsidR="008A1252" w:rsidRPr="004E54CC" w:rsidRDefault="008A1252" w:rsidP="008A1252">
      <w:pPr>
        <w:spacing w:after="0" w:line="240" w:lineRule="auto"/>
        <w:jc w:val="center"/>
        <w:rPr>
          <w:rFonts w:ascii="Times New Roman" w:hAnsi="Times New Roman"/>
          <w:i/>
          <w:sz w:val="26"/>
          <w:szCs w:val="26"/>
          <w:lang w:val="nl-NL"/>
        </w:rPr>
      </w:pPr>
      <w:r w:rsidRPr="004E54CC">
        <w:rPr>
          <w:rFonts w:ascii="Times New Roman" w:hAnsi="Times New Roman"/>
          <w:i/>
          <w:sz w:val="26"/>
          <w:szCs w:val="26"/>
          <w:lang w:val="nl-NL"/>
        </w:rPr>
        <w:t xml:space="preserve">ngày </w:t>
      </w:r>
      <w:r w:rsidR="004E54CC" w:rsidRPr="004E54CC">
        <w:rPr>
          <w:rFonts w:ascii="Times New Roman" w:hAnsi="Times New Roman"/>
          <w:i/>
          <w:sz w:val="26"/>
          <w:szCs w:val="26"/>
          <w:lang w:val="nl-NL"/>
        </w:rPr>
        <w:t>06</w:t>
      </w:r>
      <w:r w:rsidRPr="004E54CC">
        <w:rPr>
          <w:rFonts w:ascii="Times New Roman" w:hAnsi="Times New Roman"/>
          <w:i/>
          <w:sz w:val="26"/>
          <w:szCs w:val="26"/>
          <w:lang w:val="nl-NL"/>
        </w:rPr>
        <w:t xml:space="preserve">  tháng 12 năm 2018 của Hội đồng nhân dân Tỉnh)</w:t>
      </w:r>
    </w:p>
    <w:p w:rsidR="008A1252" w:rsidRPr="004E54CC" w:rsidRDefault="008A1252" w:rsidP="008A1252">
      <w:pPr>
        <w:spacing w:after="0" w:line="240" w:lineRule="auto"/>
        <w:jc w:val="center"/>
        <w:rPr>
          <w:rFonts w:ascii="Times New Roman" w:hAnsi="Times New Roman"/>
          <w:sz w:val="26"/>
          <w:szCs w:val="26"/>
          <w:vertAlign w:val="superscript"/>
          <w:lang w:val="nl-NL"/>
        </w:rPr>
      </w:pPr>
      <w:r w:rsidRPr="004E54CC">
        <w:rPr>
          <w:rFonts w:ascii="Times New Roman" w:hAnsi="Times New Roman"/>
          <w:sz w:val="26"/>
          <w:szCs w:val="26"/>
          <w:vertAlign w:val="superscript"/>
          <w:lang w:val="nl-NL"/>
        </w:rPr>
        <w:t>__________</w:t>
      </w:r>
    </w:p>
    <w:p w:rsidR="008A1252" w:rsidRPr="004E54CC" w:rsidRDefault="008A1252" w:rsidP="008A1252">
      <w:pPr>
        <w:ind w:firstLine="720"/>
        <w:jc w:val="center"/>
        <w:rPr>
          <w:rFonts w:ascii="Times New Roman" w:hAnsi="Times New Roman"/>
          <w:b/>
          <w:sz w:val="26"/>
          <w:szCs w:val="26"/>
          <w:lang w:val="eu-ES"/>
        </w:rPr>
      </w:pPr>
    </w:p>
    <w:tbl>
      <w:tblPr>
        <w:tblW w:w="492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5900"/>
        <w:gridCol w:w="1043"/>
        <w:gridCol w:w="1043"/>
        <w:gridCol w:w="1043"/>
      </w:tblGrid>
      <w:tr w:rsidR="004E54CC" w:rsidRPr="004E54CC" w:rsidTr="00D256D9">
        <w:trPr>
          <w:tblHeader/>
        </w:trPr>
        <w:tc>
          <w:tcPr>
            <w:tcW w:w="350" w:type="pct"/>
            <w:tcBorders>
              <w:top w:val="single" w:sz="4" w:space="0" w:color="auto"/>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TT</w:t>
            </w:r>
          </w:p>
        </w:tc>
        <w:tc>
          <w:tcPr>
            <w:tcW w:w="3039" w:type="pct"/>
            <w:tcBorders>
              <w:top w:val="single" w:sz="4" w:space="0" w:color="auto"/>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TÊN DỰ ÁN</w:t>
            </w:r>
          </w:p>
        </w:tc>
        <w:tc>
          <w:tcPr>
            <w:tcW w:w="537" w:type="pct"/>
            <w:tcBorders>
              <w:top w:val="single" w:sz="4" w:space="0" w:color="auto"/>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GIAI ĐOẠN 2019 - 2020</w:t>
            </w:r>
          </w:p>
        </w:tc>
        <w:tc>
          <w:tcPr>
            <w:tcW w:w="537" w:type="pct"/>
            <w:tcBorders>
              <w:top w:val="single" w:sz="4" w:space="0" w:color="auto"/>
              <w:left w:val="single" w:sz="4" w:space="0" w:color="000000"/>
              <w:bottom w:val="single" w:sz="4" w:space="0" w:color="000000"/>
              <w:right w:val="single" w:sz="4" w:space="0" w:color="000000"/>
            </w:tcBorders>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GIAI ĐOẠN 2021 - 2025</w:t>
            </w:r>
          </w:p>
        </w:tc>
        <w:tc>
          <w:tcPr>
            <w:tcW w:w="537" w:type="pct"/>
            <w:tcBorders>
              <w:top w:val="single" w:sz="4" w:space="0" w:color="auto"/>
              <w:left w:val="single" w:sz="4" w:space="0" w:color="000000"/>
              <w:bottom w:val="single" w:sz="4" w:space="0" w:color="000000"/>
              <w:right w:val="single" w:sz="4" w:space="0" w:color="000000"/>
            </w:tcBorders>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GIAI ĐOẠN 2026 - 2030</w:t>
            </w:r>
          </w:p>
        </w:tc>
      </w:tr>
      <w:tr w:rsidR="004E54CC" w:rsidRPr="004E54CC" w:rsidTr="00D256D9">
        <w:tc>
          <w:tcPr>
            <w:tcW w:w="350" w:type="pct"/>
            <w:tcBorders>
              <w:top w:val="single" w:sz="4" w:space="0" w:color="auto"/>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A</w:t>
            </w:r>
          </w:p>
        </w:tc>
        <w:tc>
          <w:tcPr>
            <w:tcW w:w="3039" w:type="pct"/>
            <w:tcBorders>
              <w:top w:val="single" w:sz="4" w:space="0" w:color="auto"/>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b/>
                <w:sz w:val="26"/>
                <w:szCs w:val="26"/>
              </w:rPr>
            </w:pPr>
            <w:r w:rsidRPr="004E54CC">
              <w:rPr>
                <w:rFonts w:ascii="Times New Roman" w:hAnsi="Times New Roman"/>
                <w:b/>
                <w:sz w:val="26"/>
                <w:szCs w:val="26"/>
              </w:rPr>
              <w:t>DỰ ÁN DO CÁC BỘ NGÀNH TRUNG ƯƠNG ĐẦU TƯ TRÊN ĐỊA BÀN</w:t>
            </w:r>
          </w:p>
        </w:tc>
        <w:tc>
          <w:tcPr>
            <w:tcW w:w="537" w:type="pct"/>
            <w:tcBorders>
              <w:top w:val="single" w:sz="4" w:space="0" w:color="auto"/>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p>
        </w:tc>
        <w:tc>
          <w:tcPr>
            <w:tcW w:w="537" w:type="pct"/>
            <w:tcBorders>
              <w:top w:val="single" w:sz="4" w:space="0" w:color="auto"/>
              <w:left w:val="single" w:sz="4" w:space="0" w:color="000000"/>
              <w:bottom w:val="single" w:sz="4" w:space="0" w:color="000000"/>
              <w:right w:val="single" w:sz="4" w:space="0" w:color="000000"/>
            </w:tcBorders>
          </w:tcPr>
          <w:p w:rsidR="008A1252" w:rsidRPr="004E54CC" w:rsidRDefault="008A1252" w:rsidP="00D256D9">
            <w:pPr>
              <w:spacing w:after="0"/>
              <w:jc w:val="center"/>
              <w:rPr>
                <w:rFonts w:ascii="Times New Roman" w:hAnsi="Times New Roman"/>
                <w:b/>
                <w:sz w:val="26"/>
                <w:szCs w:val="26"/>
              </w:rPr>
            </w:pPr>
          </w:p>
        </w:tc>
        <w:tc>
          <w:tcPr>
            <w:tcW w:w="537" w:type="pct"/>
            <w:tcBorders>
              <w:top w:val="single" w:sz="4" w:space="0" w:color="auto"/>
              <w:left w:val="single" w:sz="4" w:space="0" w:color="000000"/>
              <w:bottom w:val="single" w:sz="4" w:space="0" w:color="000000"/>
              <w:right w:val="single" w:sz="4" w:space="0" w:color="000000"/>
            </w:tcBorders>
          </w:tcPr>
          <w:p w:rsidR="008A1252" w:rsidRPr="004E54CC" w:rsidRDefault="008A1252" w:rsidP="00D256D9">
            <w:pPr>
              <w:spacing w:after="0"/>
              <w:jc w:val="center"/>
              <w:rPr>
                <w:rFonts w:ascii="Times New Roman" w:hAnsi="Times New Roman"/>
                <w:b/>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các tuyến quốc lộ hiện hữu: quốc  lộ 30 (tuyến tránh thành phố Cao Lãnh, Hồng Ngự - Dinh Bà).</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hoàn chỉnh tuyến quốc lộ N2 (tuyến nối Mỹ An - Cao Lãnh).</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mới tuyến đường cấp cao An Hữu - Cao Lãnh (hoặc PPP)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Đầu tư nâng cấp tuyến Quốc lộ N1 đoạn qua Đồng Tháp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5</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hệ thống kiểm soát lũ và điều tiết nguồn nước tại vùng Đồng Tháp Mười.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B</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b/>
                <w:sz w:val="26"/>
                <w:szCs w:val="26"/>
              </w:rPr>
            </w:pPr>
            <w:r w:rsidRPr="004E54CC">
              <w:rPr>
                <w:rFonts w:ascii="Times New Roman" w:hAnsi="Times New Roman"/>
                <w:b/>
                <w:sz w:val="26"/>
                <w:szCs w:val="26"/>
              </w:rPr>
              <w:t>CÁC DỰ ÁN DO TỈNH LÀM CHỦ ĐẦU TƯ</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b/>
                <w:sz w:val="26"/>
                <w:szCs w:val="26"/>
              </w:rPr>
            </w:pPr>
            <w:r w:rsidRPr="004E54CC">
              <w:rPr>
                <w:rFonts w:ascii="Times New Roman" w:hAnsi="Times New Roman"/>
                <w:b/>
                <w:sz w:val="26"/>
                <w:szCs w:val="26"/>
              </w:rPr>
              <w:t>Các dự án đầu tư từ nguồn vốn hỗ trợ có mục tiêu của Trung ương</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Các công trình giao thông trọng điểm liên kết vùng</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mới, nâng cấp, kéo dài các tuyến đường tỉnh để kết nối giao thông</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mở rộng hệ thống cơ sở vật chất và trang thiết bị 03 bệnh viện tuyến tỉnh đạt chuẩn hạng II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Bảo vệ tài nguyên tự nhiên và vườn quốc gia Tràm Chim</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5</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phòng chống biến đổi khí hậu và nước biển dâng</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II</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b/>
                <w:sz w:val="26"/>
                <w:szCs w:val="26"/>
              </w:rPr>
            </w:pPr>
            <w:r w:rsidRPr="004E54CC">
              <w:rPr>
                <w:rFonts w:ascii="Times New Roman" w:hAnsi="Times New Roman"/>
                <w:b/>
                <w:sz w:val="26"/>
                <w:szCs w:val="26"/>
              </w:rPr>
              <w:t>Các dự án đầu tư từ nguồn vốn trung ương hỗ trợ và ngân sách địa phương</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phát triển cơ sở hạ tầng xã nông thôn mới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phát triển hạ tầng thuỷ lợi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các khu công nghiệp trên địa bàn (Trường Xuân - Hưng Thạnh, Sa Đéc mở rộng, Trần Quốc Toản mở rộng, Sông Hậu 2, Ba Sao, Công nghiệp Công nghệ cao)</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mở rộng hệ thống cơ sở vật chất và trang thiết bị trường học các cấp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5</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 xml:space="preserve">Lập quy hoạch chi tiết Làng đại học ở khu vực thành </w:t>
            </w:r>
            <w:r w:rsidRPr="004E54CC">
              <w:rPr>
                <w:rFonts w:ascii="Times New Roman" w:hAnsi="Times New Roman"/>
                <w:sz w:val="26"/>
                <w:szCs w:val="26"/>
              </w:rPr>
              <w:lastRenderedPageBreak/>
              <w:t>phố Cao Lãnh</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6</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tuyến đê bao, kè chống sạt lở ven sông Tiền bảo vệ dân cư tỉnh Đồng Tháp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rPr>
          <w:trHeight w:val="476"/>
        </w:trPr>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7</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khu kinh tế cửa khẩu.</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8</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Mở rộng khu di tích quốc gia đặc biệt Gò Tháp lên di sản văn hóa thế giới.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9</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Bảo tồn và phát huy di sản văn hóa trên địa bàn Tỉnh.</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10</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và nâng cấp các thiết chế văn hoá các cấp.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Xử lý rác thải, nước thải và chất thải công cộng.</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trường cao đẳng Cộng đồng trở thành trường cao đẳng đa ngành, đa lĩnh vực.</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III</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b/>
                <w:sz w:val="26"/>
                <w:szCs w:val="26"/>
              </w:rPr>
            </w:pPr>
            <w:r w:rsidRPr="004E54CC">
              <w:rPr>
                <w:rFonts w:ascii="Times New Roman" w:hAnsi="Times New Roman"/>
                <w:b/>
                <w:sz w:val="26"/>
                <w:szCs w:val="26"/>
              </w:rPr>
              <w:t>Các dự án đầu tư từ nguồn ngân sách địa phương</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phát triển hệ thống đường giao thông các tuyến tỉnh, huyện, xã.</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phát triển hệ thống giao thông đô thị.</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Thí điểm liên kết đào tạo, đổi mới chương trình giảng dạy ở 2 trường chuyên của tỉnh và một số trường trung học phổ thông có điều kiện đào tạo theo chuẩn đầu ra quốc tế.</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cơ sở hạ tầng các điểm, khu du lịch tạo điều kiệm mở mới các tuyến du lịch trong tỉnh và liên kết ngoài tỉnh.</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5</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mở rộng hệ thống nhà máy nước và hệ thống cấp nước ở các đô thị và các khu dân cư tập trung.</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6</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các cụm công nghiệp kết hợp với di dời cơ sở công nghiệp, tiểu thủ công nghiệp và kiểm soát phát thải.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7</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và nâng cấp các trạm bơm điện theo hướng ô bao lớn và điện 3 pha.</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8</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cơ giới hoá nông nghiệp kết hợp với nông nghiệp thông minh và ứng dụng tiến bộ khoa học trong xây dựng chuỗi giá trị hàng hoá nông nghiệp.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C</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b/>
                <w:sz w:val="26"/>
                <w:szCs w:val="26"/>
              </w:rPr>
            </w:pPr>
            <w:r w:rsidRPr="004E54CC">
              <w:rPr>
                <w:rFonts w:ascii="Times New Roman" w:hAnsi="Times New Roman"/>
                <w:b/>
                <w:sz w:val="26"/>
                <w:szCs w:val="26"/>
              </w:rPr>
              <w:t xml:space="preserve">CÁC DỰ ÁN ĐẦU TƯ TỪ NGUỒN VỐN ĐỊA PHƯƠNG VÀ KÊU GỌI CÁC THÀNH PHẦN KINH TẾ </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b/>
                <w:sz w:val="26"/>
                <w:szCs w:val="26"/>
              </w:rPr>
            </w:pPr>
            <w:r w:rsidRPr="004E54CC">
              <w:rPr>
                <w:rFonts w:ascii="Times New Roman" w:hAnsi="Times New Roman"/>
                <w:b/>
                <w:sz w:val="26"/>
                <w:szCs w:val="26"/>
              </w:rPr>
              <w:t>Lĩnh vực nông nghiệp</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các vùng sản xuất chuyên canh, vùng chăn nuôi tập trung nông, thuỷ sản chủ lực.</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các tiểu khu, vùng nông nghiệp ứng dụng công nghệ cao.</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lastRenderedPageBreak/>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chuỗi giá trị hàng hóa nông nghiệp gắn với các ứng dụng thương mại điện tử và truy xuất nguồn gốc hàng hóa.</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II</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b/>
                <w:sz w:val="26"/>
                <w:szCs w:val="26"/>
              </w:rPr>
            </w:pPr>
            <w:r w:rsidRPr="004E54CC">
              <w:rPr>
                <w:rFonts w:ascii="Times New Roman" w:hAnsi="Times New Roman"/>
                <w:b/>
                <w:sz w:val="26"/>
                <w:szCs w:val="26"/>
              </w:rPr>
              <w:t>Lĩnh vực công nghiệp</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Hạ tầng các khu, cụm công nghiệp.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đầu tư vào các khu, cụm công nghiệp.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phát triển công nghiệp chế biến, công nghiệp hỗ trợ.</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III</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b/>
                <w:sz w:val="26"/>
                <w:szCs w:val="26"/>
              </w:rPr>
            </w:pPr>
            <w:r w:rsidRPr="004E54CC">
              <w:rPr>
                <w:rFonts w:ascii="Times New Roman" w:hAnsi="Times New Roman"/>
                <w:b/>
                <w:sz w:val="26"/>
                <w:szCs w:val="26"/>
              </w:rPr>
              <w:t>Lĩnh vực thương mại, dịch vụ và du lịch</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trung tâm thương mại tại các đô thị: thành phố Cao Lãnh, thành phố Sa Đéc, thị xã Hồng Ngự, thị trấn Mỹ An.</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đầu tư hạ tầng khu kinh tế cửa khẩu.</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và nâng cấp các điểm, tuyến du lịch .</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phát triển hệ thống chợ, siêu thị và các chuỗi cửa hàng tiện lợi.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5</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phát triển hệ thống kho hàng, trung tâm logistics; các chợ đầu mối, chợ chuyên doanh.</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6</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hệ thống khách sạn, nhà hàng, khu nghỉ dưỡng chất lượng cao đạt chuẩn từ 3 sao trở lên.</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7</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các dịch vụ lưu trú đa dạng phù hợp với điều kiện văn hóa bản địa (du lịch homestay).</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8</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Xây dựng trung tâm hội nghị - triển lãm - thương mại cao cấp hoặc khu phức hợp tại các đô thị.</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IV</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b/>
                <w:sz w:val="26"/>
                <w:szCs w:val="26"/>
              </w:rPr>
            </w:pPr>
            <w:r w:rsidRPr="004E54CC">
              <w:rPr>
                <w:rFonts w:ascii="Times New Roman" w:hAnsi="Times New Roman"/>
                <w:b/>
                <w:sz w:val="26"/>
                <w:szCs w:val="26"/>
              </w:rPr>
              <w:t>Lĩnh vực giao thông, đô thị</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b/>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b/>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b/>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 Hoàn chỉnh hạ tầng khu vực đô thị ở thành phố Cao Lãnh (loại II), thành phố Sa Đéc (loại II), thị xã Hồng Ngự (loại III) và 3 đô thị loại IV (Lấp Vò, Mỹ An, Mỹ Thọ); và nâng cấp 5 đô thị loại IV (Tràm Chim, Thanh Bình, Cái Tàu Hạ - Nha Mân, Lai Vung, Sa Rài).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 Nâng cấp hạ tầng khu vực đô thị ở thành phố Cao Lãnh, thành phố Sa Đéc (loại I), Hồng Ngự (loại II), Mỹ An (loại III), thị trấn Thường Thới Tiền (loại IV); và hoàn chỉnh hạ tầng 07 đô thị loại IV (Lấp Vò, Mỹ Thọ, Tràm Chim, Thanh Bình, Cái Tàu Hạ - Nha Mân, Lai Vung, Sa Rài).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cơ sở hạ tầng giao thông đường bộ, bến bãi giao thông đường thủy.</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hệ thống kho vận, kho nông sản kết hợp với cảng, logistics.</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lastRenderedPageBreak/>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các khu đô thị, dân cư mới.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5</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Phát triển hệ thống cấp nước ở các khu dân cư tập trung.</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b/>
                <w:sz w:val="26"/>
                <w:szCs w:val="26"/>
              </w:rPr>
            </w:pPr>
            <w:r w:rsidRPr="004E54CC">
              <w:rPr>
                <w:rFonts w:ascii="Times New Roman" w:hAnsi="Times New Roman"/>
                <w:b/>
                <w:sz w:val="26"/>
                <w:szCs w:val="26"/>
              </w:rPr>
              <w:t>V</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b/>
                <w:sz w:val="26"/>
                <w:szCs w:val="26"/>
              </w:rPr>
            </w:pPr>
            <w:r w:rsidRPr="004E54CC">
              <w:rPr>
                <w:rFonts w:ascii="Times New Roman" w:hAnsi="Times New Roman"/>
                <w:b/>
                <w:sz w:val="26"/>
                <w:szCs w:val="26"/>
              </w:rPr>
              <w:t>Lĩnh vực văn hóa - xã hội, môi trường</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1</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xã hội hóa về y tế</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Xã hội hóa đầu tư bệnh viện truyền nhiễm Đồng Tháp.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Xã hội hóa bệnh viện sản nhi Đồng Tháp.</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Kêu gọi đầu tư xã hội hóa các bệnh viện, phòng khám.</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2</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xã hội hóa về giáo dục - đào tạo</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Xã hội hóa giáo dục các cấp ở các đô thị có điều kiện thuận lợi.</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shd w:val="clear" w:color="auto" w:fill="FFFFFF"/>
              </w:rPr>
              <w:t>Trường phổ thông tư thục nhiều cấp học đào tạo theo chuẩn quốc tế.</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3</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Dự án xã hội hóa văn hóa, thể dục - thể thao</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Xã hội hóa khu liên hợp thể dục thể thao thành phố Cao Lãnh.</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 xml:space="preserve">Xã hội hóa văn hóa - thể thao tuyến cơ sở, sân bóng đá xã (11 người). </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4</w:t>
            </w: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rPr>
                <w:rFonts w:ascii="Times New Roman" w:hAnsi="Times New Roman"/>
                <w:sz w:val="26"/>
                <w:szCs w:val="26"/>
              </w:rPr>
            </w:pPr>
            <w:r w:rsidRPr="004E54CC">
              <w:rPr>
                <w:rFonts w:ascii="Times New Roman" w:hAnsi="Times New Roman"/>
                <w:sz w:val="26"/>
                <w:szCs w:val="26"/>
              </w:rPr>
              <w:t>Dự án xã hội hóa về môi trường</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Xã hội hóa dự án xử lý rác thải ở các khu vực đô thị.</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r w:rsidR="004E54CC" w:rsidRPr="004E54CC" w:rsidTr="00D256D9">
        <w:tc>
          <w:tcPr>
            <w:tcW w:w="350"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p>
        </w:tc>
        <w:tc>
          <w:tcPr>
            <w:tcW w:w="3039"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both"/>
              <w:rPr>
                <w:rFonts w:ascii="Times New Roman" w:hAnsi="Times New Roman"/>
                <w:sz w:val="26"/>
                <w:szCs w:val="26"/>
              </w:rPr>
            </w:pPr>
            <w:r w:rsidRPr="004E54CC">
              <w:rPr>
                <w:rFonts w:ascii="Times New Roman" w:hAnsi="Times New Roman"/>
                <w:sz w:val="26"/>
                <w:szCs w:val="26"/>
              </w:rPr>
              <w:t>Nâng cấp, xây mới nghĩa trang tại các thành phố, thị xã, huyện.</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c>
          <w:tcPr>
            <w:tcW w:w="537" w:type="pct"/>
            <w:tcBorders>
              <w:top w:val="single" w:sz="4" w:space="0" w:color="000000"/>
              <w:left w:val="single" w:sz="4" w:space="0" w:color="000000"/>
              <w:bottom w:val="single" w:sz="4" w:space="0" w:color="000000"/>
              <w:right w:val="single" w:sz="4" w:space="0" w:color="000000"/>
            </w:tcBorders>
            <w:vAlign w:val="center"/>
          </w:tcPr>
          <w:p w:rsidR="008A1252" w:rsidRPr="004E54CC" w:rsidRDefault="008A1252" w:rsidP="00D256D9">
            <w:pPr>
              <w:spacing w:after="0"/>
              <w:jc w:val="center"/>
              <w:rPr>
                <w:rFonts w:ascii="Times New Roman" w:hAnsi="Times New Roman"/>
                <w:sz w:val="26"/>
                <w:szCs w:val="26"/>
              </w:rPr>
            </w:pPr>
            <w:r w:rsidRPr="004E54CC">
              <w:rPr>
                <w:rFonts w:ascii="Times New Roman" w:hAnsi="Times New Roman"/>
                <w:sz w:val="26"/>
                <w:szCs w:val="26"/>
              </w:rPr>
              <w:t>X</w:t>
            </w:r>
          </w:p>
        </w:tc>
      </w:tr>
    </w:tbl>
    <w:p w:rsidR="008A1252" w:rsidRPr="004E54CC" w:rsidRDefault="008A1252" w:rsidP="008A1252">
      <w:pPr>
        <w:spacing w:after="0"/>
        <w:ind w:firstLine="720"/>
        <w:jc w:val="center"/>
        <w:rPr>
          <w:rFonts w:ascii="Times New Roman" w:hAnsi="Times New Roman"/>
          <w:b/>
          <w:bCs/>
          <w:i/>
          <w:iCs/>
          <w:sz w:val="26"/>
          <w:szCs w:val="26"/>
          <w:u w:val="single"/>
        </w:rPr>
      </w:pPr>
    </w:p>
    <w:p w:rsidR="008A1252" w:rsidRPr="004E54CC" w:rsidRDefault="008A1252" w:rsidP="008A1252">
      <w:pPr>
        <w:spacing w:after="0"/>
        <w:ind w:firstLine="567"/>
        <w:jc w:val="both"/>
        <w:rPr>
          <w:rFonts w:ascii="Times New Roman" w:hAnsi="Times New Roman"/>
          <w:i/>
          <w:sz w:val="26"/>
          <w:szCs w:val="26"/>
          <w:lang w:val="nl-NL"/>
        </w:rPr>
      </w:pPr>
      <w:r w:rsidRPr="004E54CC">
        <w:rPr>
          <w:rFonts w:ascii="Times New Roman" w:hAnsi="Times New Roman"/>
          <w:b/>
          <w:bCs/>
          <w:i/>
          <w:iCs/>
          <w:sz w:val="26"/>
          <w:szCs w:val="26"/>
          <w:lang w:val="nl-NL"/>
        </w:rPr>
        <w:t>Ghi chú:</w:t>
      </w:r>
      <w:r w:rsidRPr="004E54CC">
        <w:rPr>
          <w:rFonts w:ascii="Times New Roman" w:hAnsi="Times New Roman"/>
          <w:bCs/>
          <w:iCs/>
          <w:sz w:val="26"/>
          <w:szCs w:val="26"/>
          <w:lang w:val="nl-NL"/>
        </w:rPr>
        <w:t xml:space="preserve"> Vị trí, quy mô diện tích, tổng mức vốn đầu tư của Chương trình, dự án sẽ được tính toán, lựa chọn và xác định cụ thể trong giai đoạn lập trình duyệt dự án đầu tư, tùy thuộc vào nhu cầu và khả năng cân đối, huy động vốn đầu tư của từng  thời kỳ.</w:t>
      </w:r>
    </w:p>
    <w:p w:rsidR="002A5375" w:rsidRPr="004E54CC" w:rsidRDefault="002A5375">
      <w:pPr>
        <w:rPr>
          <w:sz w:val="26"/>
          <w:szCs w:val="26"/>
        </w:rPr>
      </w:pPr>
    </w:p>
    <w:sectPr w:rsidR="002A5375" w:rsidRPr="004E54CC" w:rsidSect="004E54CC">
      <w:headerReference w:type="default" r:id="rId6"/>
      <w:pgSz w:w="11906" w:h="16838" w:code="9"/>
      <w:pgMar w:top="1134"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92" w:rsidRDefault="00EA7792" w:rsidP="004E54CC">
      <w:pPr>
        <w:spacing w:after="0" w:line="240" w:lineRule="auto"/>
      </w:pPr>
      <w:r>
        <w:separator/>
      </w:r>
    </w:p>
  </w:endnote>
  <w:endnote w:type="continuationSeparator" w:id="0">
    <w:p w:rsidR="00EA7792" w:rsidRDefault="00EA7792" w:rsidP="004E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92" w:rsidRDefault="00EA7792" w:rsidP="004E54CC">
      <w:pPr>
        <w:spacing w:after="0" w:line="240" w:lineRule="auto"/>
      </w:pPr>
      <w:r>
        <w:separator/>
      </w:r>
    </w:p>
  </w:footnote>
  <w:footnote w:type="continuationSeparator" w:id="0">
    <w:p w:rsidR="00EA7792" w:rsidRDefault="00EA7792" w:rsidP="004E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348878"/>
      <w:docPartObj>
        <w:docPartGallery w:val="Page Numbers (Top of Page)"/>
        <w:docPartUnique/>
      </w:docPartObj>
    </w:sdtPr>
    <w:sdtEndPr>
      <w:rPr>
        <w:noProof/>
      </w:rPr>
    </w:sdtEndPr>
    <w:sdtContent>
      <w:p w:rsidR="004E54CC" w:rsidRDefault="004E54CC">
        <w:pPr>
          <w:pStyle w:val="Header"/>
          <w:jc w:val="center"/>
        </w:pPr>
        <w:r>
          <w:fldChar w:fldCharType="begin"/>
        </w:r>
        <w:r>
          <w:instrText xml:space="preserve"> PAGE   \* MERGEFORMAT </w:instrText>
        </w:r>
        <w:r>
          <w:fldChar w:fldCharType="separate"/>
        </w:r>
        <w:r w:rsidR="00381061">
          <w:rPr>
            <w:noProof/>
          </w:rPr>
          <w:t>4</w:t>
        </w:r>
        <w:r>
          <w:rPr>
            <w:noProof/>
          </w:rPr>
          <w:fldChar w:fldCharType="end"/>
        </w:r>
      </w:p>
    </w:sdtContent>
  </w:sdt>
  <w:p w:rsidR="004E54CC" w:rsidRDefault="004E5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52"/>
    <w:rsid w:val="002168D0"/>
    <w:rsid w:val="002A5375"/>
    <w:rsid w:val="00381061"/>
    <w:rsid w:val="00474B03"/>
    <w:rsid w:val="004E54CC"/>
    <w:rsid w:val="00650A95"/>
    <w:rsid w:val="00660418"/>
    <w:rsid w:val="008A1252"/>
    <w:rsid w:val="00EA7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AF02"/>
  <w15:docId w15:val="{FC06667F-CF15-4C8D-9149-242ED84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52"/>
    <w:pPr>
      <w:spacing w:after="160" w:line="259"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4CC"/>
    <w:rPr>
      <w:rFonts w:ascii="Calibri" w:eastAsia="Calibri" w:hAnsi="Calibri" w:cs="Times New Roman"/>
      <w:sz w:val="22"/>
      <w:lang w:val="en-GB"/>
    </w:rPr>
  </w:style>
  <w:style w:type="paragraph" w:styleId="Footer">
    <w:name w:val="footer"/>
    <w:basedOn w:val="Normal"/>
    <w:link w:val="FooterChar"/>
    <w:uiPriority w:val="99"/>
    <w:unhideWhenUsed/>
    <w:rsid w:val="004E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4CC"/>
    <w:rPr>
      <w:rFonts w:ascii="Calibri" w:eastAsia="Calibri" w:hAnsi="Calibri"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524EE-1E5B-4DED-AF5D-6846533FDB31}"/>
</file>

<file path=customXml/itemProps2.xml><?xml version="1.0" encoding="utf-8"?>
<ds:datastoreItem xmlns:ds="http://schemas.openxmlformats.org/officeDocument/2006/customXml" ds:itemID="{C5CA7748-ACC7-4F89-84B5-A8A35BC4F413}"/>
</file>

<file path=customXml/itemProps3.xml><?xml version="1.0" encoding="utf-8"?>
<ds:datastoreItem xmlns:ds="http://schemas.openxmlformats.org/officeDocument/2006/customXml" ds:itemID="{F4B1D082-D945-445F-98AE-A9B33C047DF5}"/>
</file>

<file path=docProps/app.xml><?xml version="1.0" encoding="utf-8"?>
<Properties xmlns="http://schemas.openxmlformats.org/officeDocument/2006/extended-properties" xmlns:vt="http://schemas.openxmlformats.org/officeDocument/2006/docPropsVTypes">
  <Template>Normal.dotm</Template>
  <TotalTime>5</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Thu</dc:creator>
  <cp:lastModifiedBy>To Minh Thuan</cp:lastModifiedBy>
  <cp:revision>4</cp:revision>
  <dcterms:created xsi:type="dcterms:W3CDTF">2018-12-10T07:52:00Z</dcterms:created>
  <dcterms:modified xsi:type="dcterms:W3CDTF">2018-12-11T02:26:00Z</dcterms:modified>
</cp:coreProperties>
</file>